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B91" w:rsidRDefault="00A07B91" w:rsidP="00A07B91">
      <w:pPr>
        <w:jc w:val="center"/>
      </w:pPr>
      <w:bookmarkStart w:id="0" w:name="_GoBack"/>
      <w:bookmarkEnd w:id="0"/>
      <w:r>
        <w:rPr>
          <w:rFonts w:hint="eastAsia"/>
        </w:rPr>
        <w:t>文獻整理範本</w:t>
      </w:r>
    </w:p>
    <w:p w:rsidR="00A07B91" w:rsidRDefault="00A07B91" w:rsidP="00A07B91">
      <w:pPr>
        <w:jc w:val="center"/>
      </w:pPr>
      <w:r>
        <w:rPr>
          <w:rFonts w:hint="eastAsia"/>
        </w:rPr>
        <w:t>I</w:t>
      </w:r>
      <w:r>
        <w:t>nquiry-based teaching</w:t>
      </w:r>
    </w:p>
    <w:p w:rsidR="00A07B91" w:rsidRDefault="00A07B91" w:rsidP="00A07B91">
      <w:r>
        <w:rPr>
          <w:rFonts w:hint="eastAsia"/>
        </w:rPr>
        <w:t>可以把文獻整理成下表。</w:t>
      </w:r>
    </w:p>
    <w:p w:rsidR="00A07B91" w:rsidRDefault="00A07B91" w:rsidP="00A07B91"/>
    <w:tbl>
      <w:tblPr>
        <w:tblStyle w:val="a3"/>
        <w:tblW w:w="0" w:type="auto"/>
        <w:tblLook w:val="04A0" w:firstRow="1" w:lastRow="0" w:firstColumn="1" w:lastColumn="0" w:noHBand="0" w:noVBand="1"/>
      </w:tblPr>
      <w:tblGrid>
        <w:gridCol w:w="1413"/>
        <w:gridCol w:w="992"/>
        <w:gridCol w:w="3119"/>
        <w:gridCol w:w="2772"/>
      </w:tblGrid>
      <w:tr w:rsidR="00A07B91" w:rsidTr="00A41D28">
        <w:tc>
          <w:tcPr>
            <w:tcW w:w="1413" w:type="dxa"/>
          </w:tcPr>
          <w:p w:rsidR="00A07B91" w:rsidRDefault="00A07B91" w:rsidP="00A41D28">
            <w:r>
              <w:t>Citation</w:t>
            </w:r>
          </w:p>
        </w:tc>
        <w:tc>
          <w:tcPr>
            <w:tcW w:w="992" w:type="dxa"/>
          </w:tcPr>
          <w:p w:rsidR="00A07B91" w:rsidRDefault="00A07B91" w:rsidP="00A41D28">
            <w:r>
              <w:t>Model</w:t>
            </w:r>
          </w:p>
        </w:tc>
        <w:tc>
          <w:tcPr>
            <w:tcW w:w="3119" w:type="dxa"/>
          </w:tcPr>
          <w:p w:rsidR="00A07B91" w:rsidRDefault="00A07B91" w:rsidP="00A41D28">
            <w:r>
              <w:t>Subject</w:t>
            </w:r>
          </w:p>
        </w:tc>
        <w:tc>
          <w:tcPr>
            <w:tcW w:w="2772" w:type="dxa"/>
          </w:tcPr>
          <w:p w:rsidR="00A07B91" w:rsidRDefault="00A07B91" w:rsidP="00A41D28">
            <w:r>
              <w:t>Conclusion</w:t>
            </w:r>
          </w:p>
        </w:tc>
      </w:tr>
      <w:tr w:rsidR="00A07B91" w:rsidTr="00A41D28">
        <w:tc>
          <w:tcPr>
            <w:tcW w:w="1413" w:type="dxa"/>
          </w:tcPr>
          <w:p w:rsidR="00A07B91" w:rsidRDefault="00A07B91" w:rsidP="00A41D28">
            <w:r>
              <w:t xml:space="preserve">Xxx(2019) </w:t>
            </w:r>
          </w:p>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r>
              <w:rPr>
                <w:rFonts w:hint="eastAsia"/>
              </w:rPr>
              <w:t>簡單描述一下結論。</w:t>
            </w:r>
          </w:p>
          <w:p w:rsidR="00A07B91" w:rsidRDefault="00A07B91" w:rsidP="00A41D28">
            <w:r>
              <w:rPr>
                <w:rFonts w:hint="eastAsia"/>
              </w:rPr>
              <w:t>研究架構圖</w:t>
            </w:r>
          </w:p>
          <w:p w:rsidR="00A07B91" w:rsidRDefault="00A07B91" w:rsidP="00A41D28">
            <w:r>
              <w:t>Questionnaire</w:t>
            </w:r>
          </w:p>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r w:rsidR="00A07B91" w:rsidTr="00A41D28">
        <w:tc>
          <w:tcPr>
            <w:tcW w:w="1413" w:type="dxa"/>
          </w:tcPr>
          <w:p w:rsidR="00A07B91" w:rsidRDefault="00A07B91" w:rsidP="00A41D28"/>
        </w:tc>
        <w:tc>
          <w:tcPr>
            <w:tcW w:w="992" w:type="dxa"/>
          </w:tcPr>
          <w:p w:rsidR="00A07B91" w:rsidRDefault="00A07B91" w:rsidP="00A41D28"/>
        </w:tc>
        <w:tc>
          <w:tcPr>
            <w:tcW w:w="3119" w:type="dxa"/>
          </w:tcPr>
          <w:p w:rsidR="00A07B91" w:rsidRDefault="00A07B91" w:rsidP="00A41D28"/>
        </w:tc>
        <w:tc>
          <w:tcPr>
            <w:tcW w:w="2772" w:type="dxa"/>
          </w:tcPr>
          <w:p w:rsidR="00A07B91" w:rsidRDefault="00A07B91" w:rsidP="00A41D28"/>
        </w:tc>
      </w:tr>
    </w:tbl>
    <w:p w:rsidR="00A07B91" w:rsidRDefault="00A07B91" w:rsidP="00A07B91"/>
    <w:p w:rsidR="00A07B91" w:rsidRDefault="00A07B91" w:rsidP="00A07B91">
      <w:pPr>
        <w:pStyle w:val="a4"/>
        <w:numPr>
          <w:ilvl w:val="0"/>
          <w:numId w:val="1"/>
        </w:numPr>
        <w:ind w:leftChars="0"/>
      </w:pPr>
      <w:r>
        <w:t>Keywords</w:t>
      </w:r>
    </w:p>
    <w:p w:rsidR="00A07B91" w:rsidRDefault="00A07B91" w:rsidP="00A07B91">
      <w:pPr>
        <w:pStyle w:val="a4"/>
        <w:numPr>
          <w:ilvl w:val="0"/>
          <w:numId w:val="1"/>
        </w:numPr>
        <w:ind w:leftChars="0"/>
      </w:pPr>
      <w:r>
        <w:t>Endnote / pdf</w:t>
      </w:r>
    </w:p>
    <w:p w:rsidR="00A07B91" w:rsidRDefault="00A07B91" w:rsidP="00A07B91">
      <w:pPr>
        <w:pStyle w:val="a4"/>
        <w:numPr>
          <w:ilvl w:val="0"/>
          <w:numId w:val="1"/>
        </w:numPr>
        <w:ind w:leftChars="0"/>
      </w:pPr>
      <w:r>
        <w:t>Table</w:t>
      </w:r>
    </w:p>
    <w:p w:rsidR="00A07B91" w:rsidRDefault="00A07B91" w:rsidP="00A07B91"/>
    <w:p w:rsidR="00A07B91" w:rsidRDefault="00A07B91" w:rsidP="00A07B91">
      <w:r>
        <w:rPr>
          <w:rFonts w:hint="eastAsia"/>
        </w:rPr>
        <w:t>主題</w:t>
      </w:r>
      <w:r>
        <w:t>1</w:t>
      </w:r>
      <w:r>
        <w:rPr>
          <w:rFonts w:hint="eastAsia"/>
        </w:rPr>
        <w:t>：</w:t>
      </w:r>
      <w:r>
        <w:t xml:space="preserve">[ </w:t>
      </w:r>
      <w:r>
        <w:rPr>
          <w:rFonts w:hint="eastAsia"/>
        </w:rPr>
        <w:t>I</w:t>
      </w:r>
      <w:r>
        <w:t>nquiry-based teaching</w:t>
      </w:r>
      <w:r>
        <w:rPr>
          <w:rFonts w:hint="eastAsia"/>
        </w:rPr>
        <w:t xml:space="preserve"> ]</w:t>
      </w:r>
    </w:p>
    <w:p w:rsidR="00A07B91" w:rsidRDefault="00A07B91" w:rsidP="00A07B91">
      <w:r>
        <w:rPr>
          <w:rFonts w:hint="eastAsia"/>
        </w:rPr>
        <w:t>有沒有相關的問卷或量表。以及實驗程序</w:t>
      </w:r>
    </w:p>
    <w:p w:rsidR="00A07B91" w:rsidRDefault="00A07B91" w:rsidP="00A07B91">
      <w:r>
        <w:rPr>
          <w:rFonts w:hint="eastAsia"/>
        </w:rPr>
        <w:t>國外期刊</w:t>
      </w:r>
      <w:r>
        <w:rPr>
          <w:rFonts w:hint="eastAsia"/>
        </w:rPr>
        <w:t xml:space="preserve"> (S</w:t>
      </w:r>
      <w:r>
        <w:t>ciencedirect, Eric)</w:t>
      </w:r>
    </w:p>
    <w:p w:rsidR="00A07B91" w:rsidRDefault="00A07B91" w:rsidP="00A07B91">
      <w:r>
        <w:rPr>
          <w:rFonts w:hint="eastAsia"/>
        </w:rPr>
        <w:t>遠端桌面程式</w:t>
      </w:r>
      <w:r>
        <w:t xml:space="preserve">  Anydesk</w:t>
      </w:r>
    </w:p>
    <w:p w:rsidR="00A07B91" w:rsidRDefault="00A07B91" w:rsidP="00A07B91">
      <w:r>
        <w:rPr>
          <w:rFonts w:hint="eastAsia"/>
        </w:rPr>
        <w:t>文獻插入</w:t>
      </w:r>
      <w:r>
        <w:rPr>
          <w:rFonts w:hint="eastAsia"/>
        </w:rPr>
        <w:t>endnote</w:t>
      </w:r>
    </w:p>
    <w:p w:rsidR="00A07B91" w:rsidRDefault="00A07B91" w:rsidP="00A07B91"/>
    <w:tbl>
      <w:tblPr>
        <w:tblStyle w:val="a3"/>
        <w:tblW w:w="5000" w:type="pct"/>
        <w:tblLook w:val="04A0" w:firstRow="1" w:lastRow="0" w:firstColumn="1" w:lastColumn="0" w:noHBand="0" w:noVBand="1"/>
      </w:tblPr>
      <w:tblGrid>
        <w:gridCol w:w="967"/>
        <w:gridCol w:w="924"/>
        <w:gridCol w:w="4967"/>
        <w:gridCol w:w="1438"/>
      </w:tblGrid>
      <w:tr w:rsidR="00A07B91" w:rsidRPr="009213AC" w:rsidTr="00A41D28">
        <w:tc>
          <w:tcPr>
            <w:tcW w:w="466"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Citation</w:t>
            </w:r>
          </w:p>
        </w:tc>
        <w:tc>
          <w:tcPr>
            <w:tcW w:w="449"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Model</w:t>
            </w:r>
          </w:p>
        </w:tc>
        <w:tc>
          <w:tcPr>
            <w:tcW w:w="2058"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Subject</w:t>
            </w:r>
          </w:p>
        </w:tc>
        <w:tc>
          <w:tcPr>
            <w:tcW w:w="202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t>Conclusion</w:t>
            </w:r>
          </w:p>
        </w:tc>
      </w:tr>
      <w:tr w:rsidR="00A07B91" w:rsidRPr="009213AC" w:rsidTr="00A41D28">
        <w:tc>
          <w:tcPr>
            <w:tcW w:w="466"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fldChar w:fldCharType="begin"/>
            </w:r>
            <w:r w:rsidRPr="009213AC">
              <w:rPr>
                <w:rFonts w:ascii="Times New Roman" w:eastAsia="新細明體" w:hAnsi="Times New Roman"/>
              </w:rPr>
              <w:instrText xml:space="preserve"> ADDIN EN.CITE &lt;EndNote&gt;&lt;Cite AuthorYear="1"&gt;&lt;Author&gt;Città&lt;/Author&gt;&lt;Year&gt;2019&lt;/Year&gt;&lt;RecNum&gt;1&lt;/RecNum&gt;&lt;DisplayText&gt;Città et al. (2019)&lt;/DisplayText&gt;&lt;record&gt;&lt;rec-number&gt;1&lt;/rec-number&gt;&lt;foreign-keys&gt;&lt;key app="EN" db-id="9px9zar0p2srd6ee5ttxv02g5z5w2pw9e5t5" timestamp="1589270793"&gt;1&lt;/key&gt;&lt;/foreign-keys&gt;&lt;ref-type name="Journal Article"&gt;17&lt;/ref-type&gt;&lt;contributors&gt;&lt;authors&gt;&lt;author&gt;Città, Giuseppe&lt;/author&gt;&lt;author&gt;Gentile, Manuel&lt;/author&gt;&lt;author&gt;Allegra, Mario&lt;/author&gt;&lt;author&gt;Arrigo, Marco&lt;/author&gt;&lt;author&gt;Conti, Daniela&lt;/author&gt;&lt;author&gt;Ottaviano, Simona&lt;/author&gt;&lt;author&gt;Reale, Francesco&lt;/author&gt;&lt;author&gt;Sciortino, Marinella&lt;/author&gt;&lt;/authors&gt;&lt;/contributors&gt;&lt;titles&gt;&lt;title&gt;The effects of mental rotation on computational thinking&lt;/title&gt;&lt;secondary-title&gt;Computers &amp;amp; Education&lt;/secondary-title&gt;&lt;/titles&gt;&lt;periodical&gt;&lt;full-title&gt;Computers &amp;amp; Education&lt;/full-title&gt;&lt;/periodical&gt;&lt;pages&gt;103613&lt;/pages&gt;&lt;volume&gt;141&lt;/volume&gt;&lt;keywords&gt;&lt;keyword&gt;Computational thinking&lt;/keyword&gt;&lt;keyword&gt;Visuospatial skills&lt;/keyword&gt;&lt;keyword&gt;Mental rotation&lt;/keyword&gt;&lt;keyword&gt;Unplugged coding&lt;/keyword&gt;&lt;keyword&gt;STEM&lt;/keyword&gt;&lt;/keywords&gt;&lt;dates&gt;&lt;year&gt;2019&lt;/year&gt;&lt;pub-dates&gt;&lt;date&gt;2019/11/01/&lt;/date&gt;&lt;/pub-dates&gt;&lt;/dates&gt;&lt;isbn&gt;0360-1315&lt;/isbn&gt;&lt;urls&gt;&lt;related-urls&gt;&lt;url&gt;http://www.sciencedirect.com/science/article/pii/S0360131519301666&lt;/url&gt;&lt;/related-urls&gt;&lt;/urls&gt;&lt;electronic-resource-num&gt;https://doi.org/10.1016/j.compedu.2019.103613&lt;/electronic-resource-num&gt;&lt;/record&gt;&lt;/Cite&gt;&lt;/EndNote&gt;</w:instrText>
            </w:r>
            <w:r w:rsidRPr="009213AC">
              <w:rPr>
                <w:rFonts w:ascii="Times New Roman" w:eastAsia="新細明體" w:hAnsi="Times New Roman"/>
              </w:rPr>
              <w:fldChar w:fldCharType="separate"/>
            </w:r>
            <w:r w:rsidRPr="009213AC">
              <w:rPr>
                <w:rFonts w:ascii="Times New Roman" w:eastAsia="新細明體" w:hAnsi="Times New Roman"/>
                <w:noProof/>
              </w:rPr>
              <w:t>Città et al. (2019)</w:t>
            </w:r>
            <w:r w:rsidRPr="009213AC">
              <w:rPr>
                <w:rFonts w:ascii="Times New Roman" w:eastAsia="新細明體" w:hAnsi="Times New Roman"/>
              </w:rPr>
              <w:fldChar w:fldCharType="end"/>
            </w:r>
          </w:p>
          <w:p w:rsidR="00A07B91" w:rsidRPr="009213AC" w:rsidRDefault="00A07B91" w:rsidP="00A41D28">
            <w:pPr>
              <w:rPr>
                <w:rFonts w:ascii="Times New Roman" w:eastAsia="新細明體" w:hAnsi="Times New Roman"/>
              </w:rPr>
            </w:pPr>
          </w:p>
          <w:p w:rsidR="00A07B91" w:rsidRPr="009213AC" w:rsidRDefault="00A07B91" w:rsidP="00A41D28">
            <w:pPr>
              <w:rPr>
                <w:rFonts w:ascii="Times New Roman" w:eastAsia="新細明體"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心理旋</w:t>
            </w:r>
            <w:r w:rsidRPr="009213AC">
              <w:rPr>
                <w:rFonts w:ascii="Times New Roman" w:eastAsia="新細明體" w:hAnsi="Times New Roman" w:hint="eastAsia"/>
              </w:rPr>
              <w:t>轉</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(mental rotation)</w:t>
            </w:r>
          </w:p>
        </w:tc>
        <w:tc>
          <w:tcPr>
            <w:tcW w:w="2058"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A07B91" w:rsidRDefault="00A07B91" w:rsidP="00A41D28">
            <w:pPr>
              <w:rPr>
                <w:rFonts w:ascii="Times New Roman" w:eastAsia="新細明體" w:hAnsi="Times New Roman"/>
              </w:rPr>
            </w:pPr>
            <w:r w:rsidRPr="009213AC">
              <w:rPr>
                <w:rFonts w:ascii="Times New Roman" w:eastAsia="新細明體" w:hAnsi="Times New Roman" w:cs="微軟正黑體" w:hint="eastAsia"/>
              </w:rPr>
              <w:t>心理旋轉</w:t>
            </w:r>
            <w:r w:rsidRPr="009213AC">
              <w:rPr>
                <w:rFonts w:ascii="Times New Roman" w:eastAsia="新細明體" w:hAnsi="Times New Roman"/>
              </w:rPr>
              <w:t>(mental rotation)</w:t>
            </w:r>
            <w:r w:rsidRPr="009213AC">
              <w:rPr>
                <w:rFonts w:ascii="Times New Roman" w:eastAsia="新細明體" w:hAnsi="Times New Roman" w:cs="微軟正黑體" w:hint="eastAsia"/>
              </w:rPr>
              <w:t>能力與運算思維的關</w:t>
            </w:r>
            <w:r w:rsidRPr="009213AC">
              <w:rPr>
                <w:rFonts w:ascii="Times New Roman" w:eastAsia="新細明體" w:hAnsi="Times New Roman" w:hint="eastAsia"/>
              </w:rPr>
              <w:t>聯</w:t>
            </w:r>
            <w:r>
              <w:rPr>
                <w:rFonts w:ascii="Times New Roman" w:eastAsia="新細明體" w:hAnsi="Times New Roman" w:hint="eastAsia"/>
              </w:rPr>
              <w:t>。</w:t>
            </w:r>
            <w:r w:rsidRPr="00A32FF1">
              <w:rPr>
                <w:rFonts w:ascii="Times New Roman" w:eastAsia="新細明體" w:hAnsi="Times New Roman" w:hint="eastAsia"/>
              </w:rPr>
              <w:t>一些研究認為，提高空間推理和思維旋轉可以加強數學技能；另一些研究認為，數學技能只有通過提高計算思維才能提高。就我們所知，很少有研究調查空間推理和計算思維之間的關係</w:t>
            </w:r>
            <w:r>
              <w:rPr>
                <w:rFonts w:ascii="Times New Roman" w:eastAsia="新細明體" w:hAnsi="Times New Roman" w:hint="eastAsia"/>
              </w:rPr>
              <w:t>。</w:t>
            </w:r>
          </w:p>
          <w:p w:rsidR="00A07B91" w:rsidRPr="009213AC" w:rsidRDefault="00A07B91" w:rsidP="00A41D28">
            <w:pPr>
              <w:rPr>
                <w:rFonts w:ascii="Times New Roman" w:eastAsia="新細明體" w:hAnsi="Times New Roman"/>
              </w:rPr>
            </w:pP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A07B91" w:rsidRDefault="00A07B91" w:rsidP="00A41D28">
            <w:pPr>
              <w:rPr>
                <w:rFonts w:ascii="Times New Roman" w:eastAsia="新細明體" w:hAnsi="Times New Roman"/>
              </w:rPr>
            </w:pPr>
            <w:r w:rsidRPr="009213AC">
              <w:rPr>
                <w:rFonts w:ascii="Times New Roman" w:eastAsia="新細明體" w:hAnsi="Times New Roman" w:cs="微軟正黑體" w:hint="eastAsia"/>
              </w:rPr>
              <w:t>一年級到五年級</w:t>
            </w:r>
            <w:r w:rsidRPr="009213AC">
              <w:rPr>
                <w:rFonts w:ascii="Times New Roman" w:eastAsia="新細明體" w:hAnsi="Times New Roman"/>
              </w:rPr>
              <w:t>92</w:t>
            </w:r>
            <w:r w:rsidRPr="009213AC">
              <w:rPr>
                <w:rFonts w:ascii="Times New Roman" w:eastAsia="新細明體" w:hAnsi="Times New Roman" w:cs="微軟正黑體" w:hint="eastAsia"/>
              </w:rPr>
              <w:t>名學生</w:t>
            </w:r>
            <w:r w:rsidRPr="009213AC">
              <w:rPr>
                <w:rFonts w:ascii="Times New Roman" w:eastAsia="新細明體" w:hAnsi="Times New Roman"/>
              </w:rPr>
              <w:t>(</w:t>
            </w:r>
            <w:r w:rsidRPr="009213AC">
              <w:rPr>
                <w:rFonts w:ascii="Times New Roman" w:eastAsia="新細明體" w:hAnsi="Times New Roman" w:cs="微軟正黑體" w:hint="eastAsia"/>
              </w:rPr>
              <w:t>年齡範圍</w:t>
            </w:r>
            <w:r w:rsidRPr="009213AC">
              <w:rPr>
                <w:rFonts w:ascii="Times New Roman" w:eastAsia="新細明體" w:hAnsi="Times New Roman"/>
              </w:rPr>
              <w:t>6-10</w:t>
            </w:r>
            <w:r w:rsidRPr="009213AC">
              <w:rPr>
                <w:rFonts w:ascii="Times New Roman" w:eastAsia="新細明體" w:hAnsi="Times New Roman" w:cs="微軟正黑體" w:hint="eastAsia"/>
              </w:rPr>
              <w:t>歲</w:t>
            </w:r>
            <w:r w:rsidRPr="009213AC">
              <w:rPr>
                <w:rFonts w:ascii="Times New Roman" w:eastAsia="新細明體" w:hAnsi="Times New Roman"/>
              </w:rPr>
              <w:t>)</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Pr>
                <w:rFonts w:ascii="Times New Roman" w:eastAsia="新細明體" w:hAnsi="Times New Roman"/>
              </w:rPr>
              <w:t>45 female 47 male</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研究流</w:t>
            </w:r>
            <w:r w:rsidRPr="009213AC">
              <w:rPr>
                <w:rFonts w:ascii="Times New Roman" w:eastAsia="新細明體" w:hAnsi="Times New Roman" w:hint="eastAsia"/>
                <w:shd w:val="pct15" w:color="auto" w:fill="FFFFFF"/>
              </w:rPr>
              <w:t>程</w:t>
            </w:r>
          </w:p>
          <w:p w:rsidR="00A07B91" w:rsidRDefault="00A07B91" w:rsidP="00A41D28">
            <w:pPr>
              <w:rPr>
                <w:rFonts w:ascii="Times New Roman" w:eastAsia="新細明體" w:hAnsi="Times New Roman"/>
              </w:rPr>
            </w:pPr>
            <w:r w:rsidRPr="009213AC">
              <w:rPr>
                <w:rFonts w:ascii="Times New Roman" w:eastAsia="新細明體" w:hAnsi="Times New Roman" w:cs="微軟正黑體" w:hint="eastAsia"/>
              </w:rPr>
              <w:t>進行了兩次為時</w:t>
            </w:r>
            <w:r w:rsidRPr="009213AC">
              <w:rPr>
                <w:rFonts w:ascii="Times New Roman" w:eastAsia="新細明體" w:hAnsi="Times New Roman"/>
              </w:rPr>
              <w:t>90</w:t>
            </w:r>
            <w:r w:rsidRPr="009213AC">
              <w:rPr>
                <w:rFonts w:ascii="Times New Roman" w:eastAsia="新細明體" w:hAnsi="Times New Roman" w:cs="微軟正黑體" w:hint="eastAsia"/>
              </w:rPr>
              <w:t>分鐘的程式教學。第一堂</w:t>
            </w:r>
            <w:r w:rsidRPr="009213AC">
              <w:rPr>
                <w:rFonts w:ascii="Times New Roman" w:eastAsia="新細明體" w:hAnsi="Times New Roman" w:cs="微軟正黑體" w:hint="eastAsia"/>
              </w:rPr>
              <w:lastRenderedPageBreak/>
              <w:t>課由初步活動（所有班級都相同）組成，目的是介紹演算法的不同概念。第二堂課讓學生進行遊戲任務以動作實踐第一堂課的學習成果。最後一堂課進行「心理旋轉測試」和「程式能力測驗」</w:t>
            </w:r>
            <w:r w:rsidRPr="009213AC">
              <w:rPr>
                <w:rFonts w:ascii="Times New Roman" w:eastAsia="新細明體" w:hAnsi="Times New Roman" w:hint="eastAsia"/>
              </w:rPr>
              <w:t>。</w:t>
            </w:r>
          </w:p>
          <w:p w:rsidR="00A07B91" w:rsidRDefault="00A07B91" w:rsidP="00A41D28">
            <w:pPr>
              <w:rPr>
                <w:rFonts w:ascii="Times New Roman" w:eastAsia="新細明體" w:hAnsi="Times New Roman"/>
              </w:rPr>
            </w:pPr>
            <w:r w:rsidRPr="00340872">
              <w:rPr>
                <w:rFonts w:ascii="Times New Roman" w:eastAsia="新細明體" w:hAnsi="Times New Roman" w:hint="eastAsia"/>
                <w:noProof/>
              </w:rPr>
              <w:drawing>
                <wp:inline distT="0" distB="0" distL="0" distR="0" wp14:anchorId="14F98953" wp14:editId="4415FFA2">
                  <wp:extent cx="2363637" cy="152676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2905" cy="1532749"/>
                          </a:xfrm>
                          <a:prstGeom prst="rect">
                            <a:avLst/>
                          </a:prstGeom>
                          <a:noFill/>
                          <a:ln>
                            <a:noFill/>
                          </a:ln>
                        </pic:spPr>
                      </pic:pic>
                    </a:graphicData>
                  </a:graphic>
                </wp:inline>
              </w:drawing>
            </w:r>
            <w:r w:rsidRPr="00340872">
              <w:rPr>
                <w:rFonts w:ascii="Times New Roman" w:eastAsia="新細明體" w:hAnsi="Times New Roman" w:hint="eastAsia"/>
                <w:noProof/>
              </w:rPr>
              <w:drawing>
                <wp:inline distT="0" distB="0" distL="0" distR="0" wp14:anchorId="1AFCB276" wp14:editId="6B570CB7">
                  <wp:extent cx="1069676" cy="153047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281" cy="1539929"/>
                          </a:xfrm>
                          <a:prstGeom prst="rect">
                            <a:avLst/>
                          </a:prstGeom>
                          <a:noFill/>
                          <a:ln>
                            <a:noFill/>
                          </a:ln>
                        </pic:spPr>
                      </pic:pic>
                    </a:graphicData>
                  </a:graphic>
                </wp:inline>
              </w:drawing>
            </w:r>
          </w:p>
          <w:p w:rsidR="00A07B91" w:rsidRDefault="00A07B91" w:rsidP="00A41D28">
            <w:pPr>
              <w:jc w:val="center"/>
              <w:rPr>
                <w:rFonts w:ascii="Times New Roman" w:eastAsia="新細明體" w:hAnsi="Times New Roman"/>
              </w:rPr>
            </w:pPr>
            <w:r>
              <w:rPr>
                <w:rFonts w:ascii="Times New Roman" w:eastAsia="新細明體" w:hAnsi="Times New Roman" w:hint="eastAsia"/>
              </w:rPr>
              <w:t>程式能力測驗</w:t>
            </w:r>
            <w:r>
              <w:rPr>
                <w:rFonts w:ascii="Times New Roman" w:eastAsia="新細明體" w:hAnsi="Times New Roman"/>
              </w:rPr>
              <w:t>(</w:t>
            </w:r>
            <w:r>
              <w:rPr>
                <w:rFonts w:ascii="Times New Roman" w:eastAsia="新細明體" w:hAnsi="Times New Roman" w:hint="eastAsia"/>
              </w:rPr>
              <w:t>用來代表</w:t>
            </w:r>
            <w:r>
              <w:rPr>
                <w:rFonts w:ascii="Times New Roman" w:eastAsia="新細明體" w:hAnsi="Times New Roman"/>
              </w:rPr>
              <w:t>CT</w:t>
            </w:r>
            <w:r>
              <w:rPr>
                <w:rFonts w:ascii="Times New Roman" w:eastAsia="新細明體" w:hAnsi="Times New Roman" w:hint="eastAsia"/>
              </w:rPr>
              <w:t>能力</w:t>
            </w:r>
            <w:r>
              <w:rPr>
                <w:rFonts w:ascii="Times New Roman" w:eastAsia="新細明體" w:hAnsi="Times New Roman"/>
              </w:rPr>
              <w:t>)</w:t>
            </w:r>
          </w:p>
          <w:p w:rsidR="00A07B91" w:rsidRDefault="00A07B91" w:rsidP="00A41D28">
            <w:pPr>
              <w:rPr>
                <w:rFonts w:ascii="Times New Roman" w:eastAsia="新細明體" w:hAnsi="Times New Roman"/>
              </w:rPr>
            </w:pPr>
            <w:r>
              <w:rPr>
                <w:noProof/>
              </w:rPr>
              <w:drawing>
                <wp:inline distT="0" distB="0" distL="0" distR="0" wp14:anchorId="058FBCFF" wp14:editId="7652477E">
                  <wp:extent cx="3338422" cy="2506457"/>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7955" cy="2513614"/>
                          </a:xfrm>
                          <a:prstGeom prst="rect">
                            <a:avLst/>
                          </a:prstGeom>
                        </pic:spPr>
                      </pic:pic>
                    </a:graphicData>
                  </a:graphic>
                </wp:inline>
              </w:drawing>
            </w:r>
          </w:p>
          <w:p w:rsidR="00A07B91" w:rsidRPr="009213AC" w:rsidRDefault="00A07B91" w:rsidP="00A41D28">
            <w:pPr>
              <w:jc w:val="center"/>
              <w:rPr>
                <w:rFonts w:ascii="Times New Roman" w:eastAsia="新細明體" w:hAnsi="Times New Roman"/>
              </w:rPr>
            </w:pPr>
            <w:r>
              <w:rPr>
                <w:rFonts w:ascii="Times New Roman" w:eastAsia="新細明體" w:hAnsi="Times New Roman" w:hint="eastAsia"/>
              </w:rPr>
              <w:t>心理旋轉能力測驗</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A07B91" w:rsidRPr="009213AC" w:rsidRDefault="00A07B91" w:rsidP="00A41D28">
            <w:pPr>
              <w:pStyle w:val="a4"/>
              <w:numPr>
                <w:ilvl w:val="0"/>
                <w:numId w:val="2"/>
              </w:numPr>
              <w:ind w:leftChars="0"/>
              <w:rPr>
                <w:rFonts w:ascii="Times New Roman" w:eastAsia="新細明體" w:hAnsi="Times New Roman"/>
              </w:rPr>
            </w:pPr>
            <w:r w:rsidRPr="009213AC">
              <w:rPr>
                <w:rFonts w:ascii="Times New Roman" w:eastAsia="新細明體" w:hAnsi="Times New Roman" w:cs="微軟正黑體" w:hint="eastAsia"/>
              </w:rPr>
              <w:t>心理旋轉測試</w:t>
            </w:r>
            <w:r w:rsidRPr="009213AC">
              <w:rPr>
                <w:rFonts w:ascii="Times New Roman" w:eastAsia="新細明體" w:hAnsi="Times New Roman"/>
              </w:rPr>
              <w:t>(Vandenberg</w:t>
            </w:r>
            <w:r w:rsidRPr="009213AC">
              <w:rPr>
                <w:rFonts w:ascii="Times New Roman" w:eastAsia="新細明體" w:hAnsi="Times New Roman" w:cs="微軟正黑體" w:hint="eastAsia"/>
              </w:rPr>
              <w:t>＆</w:t>
            </w:r>
            <w:r w:rsidRPr="009213AC">
              <w:rPr>
                <w:rFonts w:ascii="Times New Roman" w:eastAsia="新細明體" w:hAnsi="Times New Roman"/>
              </w:rPr>
              <w:t>Kuse</w:t>
            </w:r>
            <w:r w:rsidRPr="009213AC">
              <w:rPr>
                <w:rFonts w:ascii="Times New Roman" w:eastAsia="新細明體" w:hAnsi="Times New Roman" w:cs="微軟正黑體" w:hint="eastAsia"/>
              </w:rPr>
              <w:t>，</w:t>
            </w:r>
            <w:r w:rsidRPr="009213AC">
              <w:rPr>
                <w:rFonts w:ascii="Times New Roman" w:eastAsia="新細明體" w:hAnsi="Times New Roman"/>
              </w:rPr>
              <w:t>1978)</w:t>
            </w:r>
            <w:r w:rsidRPr="009213AC">
              <w:rPr>
                <w:rFonts w:ascii="Times New Roman" w:eastAsia="新細明體" w:hAnsi="Times New Roman" w:cs="微軟正黑體" w:hint="eastAsia"/>
              </w:rPr>
              <w:t>：要求每個參與者確定一對圖像中一個對象的一個圖像是否與另一個圖像相同或鏡像</w:t>
            </w:r>
            <w:r w:rsidRPr="009213AC">
              <w:rPr>
                <w:rFonts w:ascii="Times New Roman" w:eastAsia="新細明體" w:hAnsi="Times New Roman" w:hint="eastAsia"/>
              </w:rPr>
              <w:t>。</w:t>
            </w:r>
            <w:r>
              <w:rPr>
                <w:rFonts w:ascii="Times New Roman" w:eastAsia="新細明體" w:hAnsi="Times New Roman"/>
              </w:rPr>
              <w:t>(response time &amp; correct response)</w:t>
            </w:r>
            <w:r>
              <w:rPr>
                <w:rFonts w:ascii="Times New Roman" w:eastAsia="新細明體" w:hAnsi="Times New Roman" w:hint="eastAsia"/>
              </w:rPr>
              <w:t>。</w:t>
            </w:r>
          </w:p>
          <w:p w:rsidR="00A07B91" w:rsidRPr="00A32FF1" w:rsidRDefault="00A07B91" w:rsidP="00A41D28">
            <w:pPr>
              <w:pStyle w:val="a4"/>
              <w:numPr>
                <w:ilvl w:val="0"/>
                <w:numId w:val="2"/>
              </w:numPr>
              <w:ind w:leftChars="0"/>
              <w:rPr>
                <w:rFonts w:ascii="Times New Roman" w:eastAsia="新細明體" w:hAnsi="Times New Roman"/>
                <w:shd w:val="pct15" w:color="auto" w:fill="FFFFFF"/>
              </w:rPr>
            </w:pPr>
            <w:r w:rsidRPr="00A32FF1">
              <w:rPr>
                <w:rFonts w:ascii="Times New Roman" w:eastAsia="新細明體" w:hAnsi="Times New Roman" w:cs="微軟正黑體" w:hint="eastAsia"/>
              </w:rPr>
              <w:lastRenderedPageBreak/>
              <w:t>程式測試：在棋盤的封閉環境中，以紙筆的方式測試學生在紙上書寫和解釋演算法的能力。事後採用</w:t>
            </w:r>
            <w:r w:rsidRPr="00A32FF1">
              <w:rPr>
                <w:rFonts w:ascii="Times New Roman" w:eastAsia="新細明體" w:hAnsi="Times New Roman"/>
              </w:rPr>
              <w:t>RASCH</w:t>
            </w:r>
            <w:r w:rsidRPr="00A32FF1">
              <w:rPr>
                <w:rFonts w:ascii="Times New Roman" w:eastAsia="新細明體" w:hAnsi="Times New Roman" w:cs="微軟正黑體" w:hint="eastAsia"/>
              </w:rPr>
              <w:t>模型進行分析</w:t>
            </w:r>
            <w:r w:rsidRPr="00A32FF1">
              <w:rPr>
                <w:rFonts w:ascii="Times New Roman" w:eastAsia="新細明體" w:hAnsi="Times New Roman" w:hint="eastAsia"/>
              </w:rPr>
              <w:t>。</w:t>
            </w:r>
            <w:r w:rsidRPr="00A32FF1">
              <w:rPr>
                <w:rFonts w:ascii="Times New Roman" w:eastAsia="新細明體" w:hAnsi="Times New Roman"/>
              </w:rPr>
              <w:t>Rasch</w:t>
            </w:r>
            <w:r w:rsidRPr="00A32FF1">
              <w:rPr>
                <w:rFonts w:ascii="Times New Roman" w:eastAsia="新細明體" w:hAnsi="Times New Roman" w:hint="eastAsia"/>
              </w:rPr>
              <w:t>模型使用響應難度比較學生的能力，評估學生對某一題的正確回答的機率。測評分析了每道題的各種特點，如文字理解能力、答案的正確性、答題的正確率、答題的程度等。練習的完整性，以及學生得出解決方案的抽象程度。對於每個維度，測評者採用二分法評價（如果是正向評價，則為</w:t>
            </w:r>
            <w:r w:rsidRPr="00A32FF1">
              <w:rPr>
                <w:rFonts w:ascii="Times New Roman" w:eastAsia="新細明體" w:hAnsi="Times New Roman"/>
              </w:rPr>
              <w:t>1</w:t>
            </w:r>
            <w:r w:rsidRPr="00A32FF1">
              <w:rPr>
                <w:rFonts w:ascii="Times New Roman" w:eastAsia="新細明體" w:hAnsi="Times New Roman" w:hint="eastAsia"/>
              </w:rPr>
              <w:t>；如果是負向評價，則為</w:t>
            </w:r>
            <w:r w:rsidRPr="00A32FF1">
              <w:rPr>
                <w:rFonts w:ascii="Times New Roman" w:eastAsia="新細明體" w:hAnsi="Times New Roman"/>
              </w:rPr>
              <w:t>0</w:t>
            </w:r>
            <w:r w:rsidRPr="00A32FF1">
              <w:rPr>
                <w:rFonts w:ascii="Times New Roman" w:eastAsia="新細明體" w:hAnsi="Times New Roman" w:hint="eastAsia"/>
              </w:rPr>
              <w:t>）。然後用</w:t>
            </w:r>
            <w:r w:rsidRPr="00A32FF1">
              <w:rPr>
                <w:rFonts w:ascii="Times New Roman" w:eastAsia="新細明體" w:hAnsi="Times New Roman"/>
              </w:rPr>
              <w:t>Rasch</w:t>
            </w:r>
            <w:r w:rsidRPr="00A32FF1">
              <w:rPr>
                <w:rFonts w:ascii="Times New Roman" w:eastAsia="新細明體" w:hAnsi="Times New Roman" w:hint="eastAsia"/>
              </w:rPr>
              <w:t>模型對評價進行分析，用連續量表來衡量各個學生的編碼能力。項目反應理論</w:t>
            </w:r>
            <w:r w:rsidRPr="00A32FF1">
              <w:rPr>
                <w:rFonts w:ascii="Times New Roman" w:eastAsia="新細明體" w:hAnsi="Times New Roman"/>
              </w:rPr>
              <w:t>(IRT)</w:t>
            </w:r>
            <w:r w:rsidRPr="00A32FF1">
              <w:rPr>
                <w:rFonts w:ascii="Times New Roman" w:eastAsia="新細明體" w:hAnsi="Times New Roman" w:hint="eastAsia"/>
              </w:rPr>
              <w:t>技術的應用考慮到了各個項目之間的難易程度和學生個體能力的不同。</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RASCH</w:t>
            </w:r>
            <w:r w:rsidRPr="009213AC">
              <w:rPr>
                <w:rFonts w:ascii="Times New Roman" w:eastAsia="新細明體" w:hAnsi="Times New Roman" w:cs="微軟正黑體" w:hint="eastAsia"/>
              </w:rPr>
              <w:t>模</w:t>
            </w:r>
            <w:r w:rsidRPr="009213AC">
              <w:rPr>
                <w:rFonts w:ascii="Times New Roman" w:eastAsia="新細明體" w:hAnsi="Times New Roman" w:hint="eastAsia"/>
              </w:rPr>
              <w:t>型</w:t>
            </w:r>
          </w:p>
        </w:tc>
        <w:tc>
          <w:tcPr>
            <w:tcW w:w="202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 xml:space="preserve">mental rotation skill and coding ability underlined the existence of a positive correlation between the two abilities. Good </w:t>
            </w:r>
            <w:r w:rsidRPr="009213AC">
              <w:rPr>
                <w:rFonts w:ascii="Times New Roman" w:eastAsia="新細明體" w:hAnsi="Times New Roman"/>
              </w:rPr>
              <w:lastRenderedPageBreak/>
              <w:t>mental rotation increases an individual's likelihood of giving correct responses in the coding test.</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心理旋轉和</w:t>
            </w:r>
            <w:r w:rsidRPr="009213AC">
              <w:rPr>
                <w:rFonts w:ascii="Times New Roman" w:eastAsia="新細明體" w:hAnsi="Times New Roman"/>
              </w:rPr>
              <w:t>Rasch</w:t>
            </w:r>
            <w:r w:rsidRPr="009213AC">
              <w:rPr>
                <w:rFonts w:ascii="Times New Roman" w:eastAsia="新細明體" w:hAnsi="Times New Roman" w:cs="微軟正黑體" w:hint="eastAsia"/>
              </w:rPr>
              <w:t>編碼能力具有正相關，良好的心理旋轉能力會增加個人在程式能力測試中給出正確答案的可能性</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The findings reveal a positive correlation between computational thinking skill and mental rotation ability.</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計算思維能力和心理旋轉能力的呈現正相</w:t>
            </w:r>
            <w:r w:rsidRPr="009213AC">
              <w:rPr>
                <w:rFonts w:ascii="Times New Roman" w:eastAsia="新細明體" w:hAnsi="Times New Roman" w:hint="eastAsia"/>
              </w:rPr>
              <w:t>關</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問卷內</w:t>
            </w:r>
            <w:r w:rsidRPr="009213AC">
              <w:rPr>
                <w:rFonts w:ascii="Times New Roman" w:eastAsia="新細明體" w:hAnsi="Times New Roman" w:hint="eastAsia"/>
                <w:shd w:val="pct15" w:color="auto" w:fill="FFFFFF"/>
              </w:rPr>
              <w:t>容</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無提</w:t>
            </w:r>
            <w:r w:rsidRPr="009213AC">
              <w:rPr>
                <w:rFonts w:ascii="Times New Roman" w:eastAsia="新細明體" w:hAnsi="Times New Roman" w:hint="eastAsia"/>
              </w:rPr>
              <w:t>供</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lastRenderedPageBreak/>
              <w:t>補充內</w:t>
            </w:r>
            <w:r w:rsidRPr="009213AC">
              <w:rPr>
                <w:rFonts w:ascii="Times New Roman" w:eastAsia="新細明體" w:hAnsi="Times New Roman" w:hint="eastAsia"/>
                <w:shd w:val="pct15" w:color="auto" w:fill="FFFFFF"/>
              </w:rPr>
              <w:t>容</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教材來源：</w:t>
            </w:r>
            <w:r w:rsidRPr="009213AC">
              <w:rPr>
                <w:rFonts w:ascii="Times New Roman" w:eastAsia="新細明體" w:hAnsi="Times New Roman"/>
              </w:rPr>
              <w:t xml:space="preserve">“My Robotic Friends” and “Graph Paper Programming” lessons from code.org, as well as “CS Unplugged free activities for classroom or home” (Bell, Rosamond, &amp; Casey, 2012). </w:t>
            </w:r>
          </w:p>
        </w:tc>
      </w:tr>
      <w:tr w:rsidR="00A07B91" w:rsidRPr="009213AC" w:rsidTr="00A41D28">
        <w:tc>
          <w:tcPr>
            <w:tcW w:w="466"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rPr>
              <w:lastRenderedPageBreak/>
              <w:fldChar w:fldCharType="begin"/>
            </w:r>
            <w:r w:rsidRPr="009213AC">
              <w:rPr>
                <w:rFonts w:ascii="Times New Roman" w:eastAsia="新細明體" w:hAnsi="Times New Roman"/>
              </w:rPr>
              <w:instrText xml:space="preserve"> ADDIN EN.CITE &lt;EndNote&gt;&lt;Cite AuthorYear="1"&gt;&lt;Author&gt;Varela&lt;/Author&gt;&lt;Year&gt;2019&lt;/Year&gt;&lt;RecNum&gt;2&lt;/RecNum&gt;&lt;DisplayText&gt;Varela, Rebollar, García, Bravo, and Bilbao (2019)&lt;/DisplayText&gt;&lt;record&gt;&lt;rec-number&gt;2&lt;/rec-number&gt;&lt;foreign-keys&gt;&lt;key app="EN" db-id="9px9zar0p2srd6ee5ttxv02g5z5w2pw9e5t5" timestamp="1589274467"&gt;2&lt;/key&gt;&lt;/foreign-keys&gt;&lt;ref-type name="Journal Article"&gt;17&lt;/ref-type&gt;&lt;contributors&gt;&lt;authors&gt;&lt;author&gt;Varela, Concepción&lt;/author&gt;&lt;author&gt;Rebollar, Carolina&lt;/author&gt;&lt;author&gt;García, Olatz&lt;/author&gt;&lt;author&gt;Bravo, Eugenio&lt;/author&gt;&lt;author&gt;Bilbao, Javier&lt;/author&gt;&lt;/authors&gt;&lt;/contributors&gt;&lt;titles&gt;&lt;title&gt;Skills in computational thinking of engineering students of the first school year&lt;/title&gt;&lt;secondary-title&gt;Heliyon&lt;/secondary-title&gt;&lt;/titles&gt;&lt;periodical&gt;&lt;full-title&gt;Heliyon&lt;/full-title&gt;&lt;/periodical&gt;&lt;pages&gt;e02820&lt;/pages&gt;&lt;volume&gt;5&lt;/volume&gt;&lt;number&gt;11&lt;/number&gt;&lt;keywords&gt;&lt;keyword&gt;Education&lt;/keyword&gt;&lt;keyword&gt;Educational development&lt;/keyword&gt;&lt;keyword&gt;Evaluation in education&lt;/keyword&gt;&lt;keyword&gt;Pedagogy&lt;/keyword&gt;&lt;keyword&gt;Teaching research&lt;/keyword&gt;&lt;/keywords&gt;&lt;dates&gt;&lt;year&gt;2019&lt;/year&gt;&lt;pub-dates&gt;&lt;date&gt;2019/11/01/&lt;/date&gt;&lt;/pub-dates&gt;&lt;/dates&gt;&lt;isbn&gt;2405-8440&lt;/isbn&gt;&lt;urls&gt;&lt;related-urls&gt;&lt;url&gt;http://www.sciencedirect.com/science/article/pii/S2405844019364801&lt;/url&gt;&lt;/related-urls&gt;&lt;/urls&gt;&lt;electronic-resource-num&gt;https://doi.org/10.1016/j.heliyon.2019.e02820&lt;/electronic-resource-num&gt;&lt;/record&gt;&lt;/Cite&gt;&lt;/EndNote&gt;</w:instrText>
            </w:r>
            <w:r w:rsidRPr="009213AC">
              <w:rPr>
                <w:rFonts w:ascii="Times New Roman" w:eastAsia="新細明體" w:hAnsi="Times New Roman"/>
              </w:rPr>
              <w:fldChar w:fldCharType="separate"/>
            </w:r>
            <w:r w:rsidRPr="009213AC">
              <w:rPr>
                <w:rFonts w:ascii="Times New Roman" w:eastAsia="新細明體" w:hAnsi="Times New Roman"/>
                <w:noProof/>
              </w:rPr>
              <w:t>Varela, Rebollar, García, Bravo, and Bilbao (2019)</w:t>
            </w:r>
            <w:r w:rsidRPr="009213AC">
              <w:rPr>
                <w:rFonts w:ascii="Times New Roman" w:eastAsia="新細明體" w:hAnsi="Times New Roman"/>
              </w:rPr>
              <w:fldChar w:fldCharType="end"/>
            </w:r>
          </w:p>
        </w:tc>
        <w:tc>
          <w:tcPr>
            <w:tcW w:w="449"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運算思維</w:t>
            </w:r>
            <w:r w:rsidRPr="009213AC">
              <w:rPr>
                <w:rFonts w:ascii="Times New Roman" w:eastAsia="新細明體" w:hAnsi="Times New Roman"/>
              </w:rPr>
              <w:t>(CT)</w:t>
            </w:r>
            <w:r w:rsidRPr="009213AC">
              <w:rPr>
                <w:rFonts w:ascii="Times New Roman" w:eastAsia="新細明體" w:hAnsi="Times New Roman" w:cs="微軟正黑體" w:hint="eastAsia"/>
              </w:rPr>
              <w:t>能力量</w:t>
            </w:r>
            <w:r w:rsidRPr="009213AC">
              <w:rPr>
                <w:rFonts w:ascii="Times New Roman" w:eastAsia="新細明體" w:hAnsi="Times New Roman" w:hint="eastAsia"/>
              </w:rPr>
              <w:t>表</w:t>
            </w:r>
          </w:p>
        </w:tc>
        <w:tc>
          <w:tcPr>
            <w:tcW w:w="2058"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由</w:t>
            </w:r>
            <w:r w:rsidRPr="009213AC">
              <w:rPr>
                <w:rFonts w:ascii="Times New Roman" w:eastAsia="新細明體" w:hAnsi="Times New Roman"/>
              </w:rPr>
              <w:t>Korkmaz</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驗證的</w:t>
            </w:r>
            <w:r w:rsidRPr="009213AC">
              <w:rPr>
                <w:rFonts w:ascii="Times New Roman" w:eastAsia="新細明體" w:hAnsi="Times New Roman"/>
              </w:rPr>
              <w:t>CT</w:t>
            </w:r>
            <w:r w:rsidRPr="009213AC">
              <w:rPr>
                <w:rFonts w:ascii="Times New Roman" w:eastAsia="新細明體" w:hAnsi="Times New Roman" w:cs="微軟正黑體" w:hint="eastAsia"/>
              </w:rPr>
              <w:t>能力量表，測量巴斯克地區大學的工程專業學生具有的</w:t>
            </w:r>
            <w:r w:rsidRPr="009213AC">
              <w:rPr>
                <w:rFonts w:ascii="Times New Roman" w:eastAsia="新細明體" w:hAnsi="Times New Roman"/>
              </w:rPr>
              <w:t>CT</w:t>
            </w:r>
            <w:r w:rsidRPr="009213AC">
              <w:rPr>
                <w:rFonts w:ascii="Times New Roman" w:eastAsia="新細明體" w:hAnsi="Times New Roman" w:cs="微軟正黑體" w:hint="eastAsia"/>
              </w:rPr>
              <w:t>技能</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1138</w:t>
            </w:r>
            <w:r w:rsidRPr="009213AC">
              <w:rPr>
                <w:rFonts w:ascii="Times New Roman" w:eastAsia="新細明體" w:hAnsi="Times New Roman" w:cs="微軟正黑體" w:hint="eastAsia"/>
              </w:rPr>
              <w:t>名大一新生</w:t>
            </w:r>
            <w:r w:rsidRPr="009213AC">
              <w:rPr>
                <w:rFonts w:ascii="Times New Roman" w:eastAsia="新細明體" w:hAnsi="Times New Roman" w:hint="eastAsia"/>
              </w:rPr>
              <w:t>。</w:t>
            </w:r>
            <w:r>
              <w:rPr>
                <w:rFonts w:ascii="Times New Roman" w:eastAsia="新細明體" w:hAnsi="Times New Roman"/>
              </w:rPr>
              <w:t>277 female &amp; 852 male.</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t>研究流</w:t>
            </w:r>
            <w:r w:rsidRPr="009213AC">
              <w:rPr>
                <w:rFonts w:ascii="Times New Roman" w:eastAsia="新細明體" w:hAnsi="Times New Roman" w:hint="eastAsia"/>
                <w:shd w:val="pct15" w:color="auto" w:fill="FFFFFF"/>
              </w:rPr>
              <w:t>程</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進行了探索性因素分析</w:t>
            </w:r>
            <w:r w:rsidRPr="009213AC">
              <w:rPr>
                <w:rFonts w:ascii="Times New Roman" w:eastAsia="新細明體" w:hAnsi="Times New Roman"/>
              </w:rPr>
              <w:t>(EFA)</w:t>
            </w:r>
            <w:r w:rsidRPr="009213AC">
              <w:rPr>
                <w:rFonts w:ascii="Times New Roman" w:eastAsia="新細明體" w:hAnsi="Times New Roman" w:cs="微軟正黑體" w:hint="eastAsia"/>
              </w:rPr>
              <w:t>和相應的確認性因素分析</w:t>
            </w:r>
            <w:r w:rsidRPr="009213AC">
              <w:rPr>
                <w:rFonts w:ascii="Times New Roman" w:eastAsia="新細明體" w:hAnsi="Times New Roman"/>
              </w:rPr>
              <w:t>(CFA)</w:t>
            </w:r>
            <w:r w:rsidRPr="009213AC">
              <w:rPr>
                <w:rFonts w:ascii="Times New Roman" w:eastAsia="新細明體" w:hAnsi="Times New Roman" w:cs="微軟正黑體" w:hint="eastAsia"/>
              </w:rPr>
              <w:t>之後，最終選擇了</w:t>
            </w:r>
            <w:r w:rsidRPr="009213AC">
              <w:rPr>
                <w:rFonts w:ascii="Times New Roman" w:eastAsia="新細明體" w:hAnsi="Times New Roman"/>
              </w:rPr>
              <w:t>29</w:t>
            </w:r>
            <w:r w:rsidRPr="009213AC">
              <w:rPr>
                <w:rFonts w:ascii="Times New Roman" w:eastAsia="新細明體" w:hAnsi="Times New Roman" w:cs="微軟正黑體" w:hint="eastAsia"/>
              </w:rPr>
              <w:t>個問題或項目來驗證計算思維</w:t>
            </w:r>
            <w:r w:rsidRPr="009213AC">
              <w:rPr>
                <w:rFonts w:ascii="Times New Roman" w:eastAsia="新細明體" w:hAnsi="Times New Roman"/>
              </w:rPr>
              <w:t>(Korkmaz</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分佈如下：</w:t>
            </w:r>
            <w:r w:rsidRPr="009213AC">
              <w:rPr>
                <w:rFonts w:ascii="Times New Roman" w:eastAsia="新細明體" w:hAnsi="Times New Roman"/>
              </w:rPr>
              <w:t>6</w:t>
            </w:r>
            <w:r w:rsidRPr="009213AC">
              <w:rPr>
                <w:rFonts w:ascii="Times New Roman" w:eastAsia="新細明體" w:hAnsi="Times New Roman" w:cs="微軟正黑體" w:hint="eastAsia"/>
              </w:rPr>
              <w:t>個用於衡量演算法思維，</w:t>
            </w:r>
            <w:r w:rsidRPr="009213AC">
              <w:rPr>
                <w:rFonts w:ascii="Times New Roman" w:eastAsia="新細明體" w:hAnsi="Times New Roman"/>
              </w:rPr>
              <w:t>4</w:t>
            </w:r>
            <w:r w:rsidRPr="009213AC">
              <w:rPr>
                <w:rFonts w:ascii="Times New Roman" w:eastAsia="新細明體" w:hAnsi="Times New Roman" w:cs="微軟正黑體" w:hint="eastAsia"/>
              </w:rPr>
              <w:t>個用於協作能力，</w:t>
            </w:r>
            <w:r w:rsidRPr="009213AC">
              <w:rPr>
                <w:rFonts w:ascii="Times New Roman" w:eastAsia="新細明體" w:hAnsi="Times New Roman"/>
              </w:rPr>
              <w:t>5</w:t>
            </w:r>
            <w:r w:rsidRPr="009213AC">
              <w:rPr>
                <w:rFonts w:ascii="Times New Roman" w:eastAsia="新細明體" w:hAnsi="Times New Roman" w:cs="微軟正黑體" w:hint="eastAsia"/>
              </w:rPr>
              <w:t>個用於批判性思維，</w:t>
            </w:r>
            <w:r w:rsidRPr="009213AC">
              <w:rPr>
                <w:rFonts w:ascii="Times New Roman" w:eastAsia="新細明體" w:hAnsi="Times New Roman"/>
              </w:rPr>
              <w:t>6</w:t>
            </w:r>
            <w:r w:rsidRPr="009213AC">
              <w:rPr>
                <w:rFonts w:ascii="Times New Roman" w:eastAsia="新細明體" w:hAnsi="Times New Roman" w:cs="微軟正黑體" w:hint="eastAsia"/>
              </w:rPr>
              <w:t>個用於解決問題的能力以及</w:t>
            </w:r>
            <w:r w:rsidRPr="009213AC">
              <w:rPr>
                <w:rFonts w:ascii="Times New Roman" w:eastAsia="新細明體" w:hAnsi="Times New Roman"/>
              </w:rPr>
              <w:t>8</w:t>
            </w:r>
            <w:r w:rsidRPr="009213AC">
              <w:rPr>
                <w:rFonts w:ascii="Times New Roman" w:eastAsia="新細明體" w:hAnsi="Times New Roman" w:cs="微軟正黑體" w:hint="eastAsia"/>
              </w:rPr>
              <w:t>個用於創造力的能力</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A07B91" w:rsidRDefault="00A07B91" w:rsidP="00A41D28">
            <w:pPr>
              <w:rPr>
                <w:rFonts w:ascii="Times New Roman" w:eastAsia="新細明體" w:hAnsi="Times New Roman" w:cs="微軟正黑體"/>
              </w:rPr>
            </w:pPr>
            <w:r>
              <w:rPr>
                <w:rFonts w:ascii="Times New Roman" w:eastAsia="新細明體" w:hAnsi="Times New Roman" w:cs="微軟正黑體"/>
                <w:noProof/>
              </w:rPr>
              <w:lastRenderedPageBreak/>
              <w:drawing>
                <wp:inline distT="0" distB="0" distL="0" distR="0">
                  <wp:extent cx="3520440" cy="2026920"/>
                  <wp:effectExtent l="0" t="0" r="3810" b="0"/>
                  <wp:docPr id="1" name="圖片 1" descr="159063006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06300644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440" cy="2026920"/>
                          </a:xfrm>
                          <a:prstGeom prst="rect">
                            <a:avLst/>
                          </a:prstGeom>
                          <a:noFill/>
                          <a:ln>
                            <a:noFill/>
                          </a:ln>
                        </pic:spPr>
                      </pic:pic>
                    </a:graphicData>
                  </a:graphic>
                </wp:inline>
              </w:drawing>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獲得的三個因素可以簡要解釋如下</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演算法思維</w:t>
            </w:r>
            <w:r w:rsidRPr="009213AC">
              <w:rPr>
                <w:rFonts w:ascii="Times New Roman" w:eastAsia="新細明體" w:hAnsi="Times New Roman"/>
              </w:rPr>
              <w:t>(Algorithmic Thinking)</w:t>
            </w:r>
            <w:r w:rsidRPr="009213AC">
              <w:rPr>
                <w:rFonts w:ascii="Times New Roman" w:eastAsia="新細明體" w:hAnsi="Times New Roman" w:cs="微軟正黑體" w:hint="eastAsia"/>
              </w:rPr>
              <w:t>是理解，執行，評估和創建演算法的能力（</w:t>
            </w:r>
            <w:r w:rsidRPr="009213AC">
              <w:rPr>
                <w:rFonts w:ascii="Times New Roman" w:eastAsia="新細明體" w:hAnsi="Times New Roman"/>
              </w:rPr>
              <w:t>Brown</w:t>
            </w:r>
            <w:r w:rsidRPr="009213AC">
              <w:rPr>
                <w:rFonts w:ascii="Times New Roman" w:eastAsia="新細明體" w:hAnsi="Times New Roman" w:cs="微軟正黑體" w:hint="eastAsia"/>
              </w:rPr>
              <w:t>，</w:t>
            </w:r>
            <w:r w:rsidRPr="009213AC">
              <w:rPr>
                <w:rFonts w:ascii="Times New Roman" w:eastAsia="新細明體" w:hAnsi="Times New Roman"/>
              </w:rPr>
              <w:t>2015</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解決問題</w:t>
            </w:r>
            <w:r w:rsidRPr="009213AC">
              <w:rPr>
                <w:rFonts w:ascii="Times New Roman" w:eastAsia="新細明體" w:hAnsi="Times New Roman"/>
              </w:rPr>
              <w:t>(Problem Solving)</w:t>
            </w:r>
            <w:r w:rsidRPr="009213AC">
              <w:rPr>
                <w:rFonts w:ascii="Times New Roman" w:eastAsia="新細明體" w:hAnsi="Times New Roman" w:cs="微軟正黑體" w:hint="eastAsia"/>
              </w:rPr>
              <w:t>的定義是在沒有立即明顯的解決方法的情況下，參與認知過程以理解和解決問題的能力（經合組織，</w:t>
            </w:r>
            <w:r w:rsidRPr="009213AC">
              <w:rPr>
                <w:rFonts w:ascii="Times New Roman" w:eastAsia="新細明體" w:hAnsi="Times New Roman"/>
              </w:rPr>
              <w:t>2014</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pStyle w:val="a4"/>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合作思維</w:t>
            </w:r>
            <w:r w:rsidRPr="009213AC">
              <w:rPr>
                <w:rFonts w:ascii="Times New Roman" w:eastAsia="新細明體" w:hAnsi="Times New Roman"/>
              </w:rPr>
              <w:t>(Cooperative thinking)</w:t>
            </w:r>
            <w:r w:rsidRPr="009213AC">
              <w:rPr>
                <w:rFonts w:ascii="Times New Roman" w:eastAsia="新細明體" w:hAnsi="Times New Roman" w:cs="微軟正黑體" w:hint="eastAsia"/>
              </w:rPr>
              <w:t>是一種以社交上可持續的方式描述，識別，分解問題並以計算方式解決團隊問題的能力（</w:t>
            </w:r>
            <w:r w:rsidRPr="009213AC">
              <w:rPr>
                <w:rFonts w:ascii="Times New Roman" w:eastAsia="新細明體" w:hAnsi="Times New Roman"/>
              </w:rPr>
              <w:t>Missiroli</w:t>
            </w:r>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A07B91" w:rsidRPr="009213AC" w:rsidRDefault="00A07B91" w:rsidP="00A41D28">
            <w:pPr>
              <w:rPr>
                <w:rFonts w:ascii="Times New Roman" w:eastAsia="新細明體" w:hAnsi="Times New Roman"/>
              </w:rPr>
            </w:pPr>
            <w:r w:rsidRPr="009213AC">
              <w:rPr>
                <w:rFonts w:ascii="Times New Roman" w:eastAsia="新細明體" w:hAnsi="Times New Roman"/>
              </w:rPr>
              <w:t>SEM</w:t>
            </w:r>
            <w:r w:rsidRPr="009213AC">
              <w:rPr>
                <w:rFonts w:ascii="Times New Roman" w:eastAsia="新細明體" w:hAnsi="Times New Roman" w:cs="微軟正黑體" w:hint="eastAsia"/>
              </w:rPr>
              <w:t>分</w:t>
            </w:r>
            <w:r w:rsidRPr="009213AC">
              <w:rPr>
                <w:rFonts w:ascii="Times New Roman" w:eastAsia="新細明體" w:hAnsi="Times New Roman" w:hint="eastAsia"/>
              </w:rPr>
              <w:t>析</w:t>
            </w:r>
          </w:p>
        </w:tc>
        <w:tc>
          <w:tcPr>
            <w:tcW w:w="2027" w:type="pct"/>
            <w:tcBorders>
              <w:top w:val="single" w:sz="4" w:space="0" w:color="auto"/>
              <w:left w:val="single" w:sz="4" w:space="0" w:color="auto"/>
              <w:bottom w:val="single" w:sz="4" w:space="0" w:color="auto"/>
              <w:right w:val="single" w:sz="4" w:space="0" w:color="auto"/>
            </w:tcBorders>
            <w:hideMark/>
          </w:tcPr>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A07B91" w:rsidRPr="009213AC" w:rsidRDefault="00A07B91" w:rsidP="00A41D28">
            <w:pPr>
              <w:rPr>
                <w:rFonts w:ascii="Times New Roman" w:eastAsia="新細明體" w:hAnsi="Times New Roman"/>
              </w:rPr>
            </w:pPr>
            <w:r w:rsidRPr="009213AC">
              <w:rPr>
                <w:rFonts w:ascii="Times New Roman" w:eastAsia="新細明體" w:hAnsi="Times New Roman" w:cs="微軟正黑體" w:hint="eastAsia"/>
              </w:rPr>
              <w:t>此量表沒有衡量兩種</w:t>
            </w:r>
            <w:r w:rsidRPr="009213AC">
              <w:rPr>
                <w:rFonts w:ascii="Times New Roman" w:eastAsia="新細明體" w:hAnsi="Times New Roman"/>
              </w:rPr>
              <w:t>CT</w:t>
            </w:r>
            <w:r w:rsidRPr="009213AC">
              <w:rPr>
                <w:rFonts w:ascii="Times New Roman" w:eastAsia="新細明體" w:hAnsi="Times New Roman" w:cs="微軟正黑體" w:hint="eastAsia"/>
              </w:rPr>
              <w:t>能力：批判性思維和創造力，還需要另一種有效，可靠的量表來衡量工科學生的這些技能以及解決問題，演算法思維和合作能力</w:t>
            </w:r>
            <w:r w:rsidRPr="009213AC">
              <w:rPr>
                <w:rFonts w:ascii="Times New Roman" w:eastAsia="新細明體" w:hAnsi="Times New Roman" w:hint="eastAsia"/>
              </w:rPr>
              <w:t>。</w:t>
            </w:r>
          </w:p>
          <w:p w:rsidR="00A07B91" w:rsidRPr="009213AC" w:rsidRDefault="00A07B91" w:rsidP="00A41D28">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問卷內</w:t>
            </w:r>
            <w:r w:rsidRPr="009213AC">
              <w:rPr>
                <w:rFonts w:ascii="Times New Roman" w:eastAsia="新細明體" w:hAnsi="Times New Roman" w:hint="eastAsia"/>
                <w:shd w:val="pct15" w:color="auto" w:fill="FFFFFF"/>
              </w:rPr>
              <w:t>容</w:t>
            </w:r>
          </w:p>
          <w:p w:rsidR="00A07B91" w:rsidRPr="009213AC" w:rsidRDefault="00DB20A3" w:rsidP="00A41D28">
            <w:pPr>
              <w:rPr>
                <w:rFonts w:ascii="Times New Roman" w:eastAsia="新細明體" w:hAnsi="Times New Roman"/>
              </w:rPr>
            </w:pPr>
            <w:hyperlink w:anchor="CT量表" w:history="1">
              <w:r w:rsidR="00A07B91" w:rsidRPr="009213AC">
                <w:rPr>
                  <w:rStyle w:val="a5"/>
                  <w:rFonts w:ascii="Times New Roman" w:eastAsia="新細明體" w:hAnsi="Times New Roman" w:cs="微軟正黑體" w:hint="eastAsia"/>
                </w:rPr>
                <w:t>請參考附件</w:t>
              </w:r>
            </w:hyperlink>
          </w:p>
        </w:tc>
      </w:tr>
    </w:tbl>
    <w:p w:rsidR="008D4EC6" w:rsidRDefault="008D4EC6" w:rsidP="00A07B91"/>
    <w:p w:rsidR="008D4EC6" w:rsidRDefault="008D4EC6" w:rsidP="00A07B91"/>
    <w:p w:rsidR="008D4EC6" w:rsidRPr="008D4EC6" w:rsidRDefault="008D4EC6" w:rsidP="008D4EC6">
      <w:pPr>
        <w:pStyle w:val="EndNoteBibliography"/>
        <w:ind w:left="720" w:hanging="720"/>
      </w:pPr>
      <w:r>
        <w:fldChar w:fldCharType="begin"/>
      </w:r>
      <w:r>
        <w:instrText xml:space="preserve"> ADDIN EN.REFLIST </w:instrText>
      </w:r>
      <w:r>
        <w:fldChar w:fldCharType="separate"/>
      </w:r>
      <w:r w:rsidRPr="008D4EC6">
        <w:t xml:space="preserve">Città, G., Gentile, M., Allegra, M., Arrigo, M., Conti, D., Ottaviano, S., . . . Sciortino, M. (2019). The effects of mental rotation on computational thinking. </w:t>
      </w:r>
      <w:r w:rsidRPr="008D4EC6">
        <w:rPr>
          <w:i/>
        </w:rPr>
        <w:t>Computers &amp; Education, 141</w:t>
      </w:r>
      <w:r w:rsidRPr="008D4EC6">
        <w:t xml:space="preserve">, 103613. doi: </w:t>
      </w:r>
      <w:hyperlink r:id="rId11" w:history="1">
        <w:r w:rsidRPr="008D4EC6">
          <w:rPr>
            <w:rStyle w:val="a5"/>
          </w:rPr>
          <w:t>https://doi.org/10.1016/j.compedu.2019.103613</w:t>
        </w:r>
      </w:hyperlink>
    </w:p>
    <w:p w:rsidR="008D4EC6" w:rsidRPr="008D4EC6" w:rsidRDefault="008D4EC6" w:rsidP="008D4EC6">
      <w:pPr>
        <w:pStyle w:val="EndNoteBibliography"/>
        <w:ind w:left="720" w:hanging="720"/>
      </w:pPr>
      <w:r w:rsidRPr="008D4EC6">
        <w:t xml:space="preserve">Varela, C., Rebollar, C., García, O., Bravo, E., &amp; Bilbao, J. (2019). Skills in computational thinking of engineering students of the first school year. </w:t>
      </w:r>
      <w:r w:rsidRPr="008D4EC6">
        <w:rPr>
          <w:i/>
        </w:rPr>
        <w:t>Heliyon, 5</w:t>
      </w:r>
      <w:r w:rsidRPr="008D4EC6">
        <w:t xml:space="preserve">(11), e02820. doi: </w:t>
      </w:r>
      <w:hyperlink r:id="rId12" w:history="1">
        <w:r w:rsidRPr="008D4EC6">
          <w:rPr>
            <w:rStyle w:val="a5"/>
          </w:rPr>
          <w:t>https://doi.org/10.1016/j.heliyon.2019.e02820</w:t>
        </w:r>
      </w:hyperlink>
    </w:p>
    <w:p w:rsidR="001B77EF" w:rsidRPr="00A07B91" w:rsidRDefault="008D4EC6" w:rsidP="00A07B91">
      <w:r>
        <w:fldChar w:fldCharType="end"/>
      </w:r>
    </w:p>
    <w:sectPr w:rsidR="001B77EF" w:rsidRPr="00A07B9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0A3" w:rsidRDefault="00DB20A3" w:rsidP="00233B5D">
      <w:r>
        <w:separator/>
      </w:r>
    </w:p>
  </w:endnote>
  <w:endnote w:type="continuationSeparator" w:id="0">
    <w:p w:rsidR="00DB20A3" w:rsidRDefault="00DB20A3" w:rsidP="0023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0A3" w:rsidRDefault="00DB20A3" w:rsidP="00233B5D">
      <w:r>
        <w:separator/>
      </w:r>
    </w:p>
  </w:footnote>
  <w:footnote w:type="continuationSeparator" w:id="0">
    <w:p w:rsidR="00DB20A3" w:rsidRDefault="00DB20A3" w:rsidP="00233B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B3C41"/>
    <w:multiLevelType w:val="hybridMultilevel"/>
    <w:tmpl w:val="BC56EA64"/>
    <w:lvl w:ilvl="0" w:tplc="33EAF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7845EC9"/>
    <w:multiLevelType w:val="hybridMultilevel"/>
    <w:tmpl w:val="27E02FD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77584FEC"/>
    <w:multiLevelType w:val="hybridMultilevel"/>
    <w:tmpl w:val="8D8A88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T&amp;amp;F Standard AP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07B91"/>
    <w:rsid w:val="001B77EF"/>
    <w:rsid w:val="00233B5D"/>
    <w:rsid w:val="008D4EC6"/>
    <w:rsid w:val="00A07B91"/>
    <w:rsid w:val="00DB20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6FB9BD-6E59-4730-B39B-831F6F56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7B9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7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07B91"/>
    <w:pPr>
      <w:ind w:leftChars="200" w:left="480"/>
    </w:pPr>
  </w:style>
  <w:style w:type="character" w:styleId="a5">
    <w:name w:val="Hyperlink"/>
    <w:basedOn w:val="a0"/>
    <w:uiPriority w:val="99"/>
    <w:unhideWhenUsed/>
    <w:rsid w:val="00A07B91"/>
    <w:rPr>
      <w:color w:val="0563C1" w:themeColor="hyperlink"/>
      <w:u w:val="single"/>
    </w:rPr>
  </w:style>
  <w:style w:type="paragraph" w:customStyle="1" w:styleId="EndNoteBibliographyTitle">
    <w:name w:val="EndNote Bibliography Title"/>
    <w:basedOn w:val="a"/>
    <w:link w:val="EndNoteBibliographyTitle0"/>
    <w:rsid w:val="008D4EC6"/>
    <w:pPr>
      <w:jc w:val="center"/>
    </w:pPr>
    <w:rPr>
      <w:rFonts w:ascii="Calibri" w:hAnsi="Calibri"/>
      <w:noProof/>
    </w:rPr>
  </w:style>
  <w:style w:type="character" w:customStyle="1" w:styleId="EndNoteBibliographyTitle0">
    <w:name w:val="EndNote Bibliography Title 字元"/>
    <w:basedOn w:val="a0"/>
    <w:link w:val="EndNoteBibliographyTitle"/>
    <w:rsid w:val="008D4EC6"/>
    <w:rPr>
      <w:rFonts w:ascii="Calibri" w:hAnsi="Calibri"/>
      <w:noProof/>
    </w:rPr>
  </w:style>
  <w:style w:type="paragraph" w:customStyle="1" w:styleId="EndNoteBibliography">
    <w:name w:val="EndNote Bibliography"/>
    <w:basedOn w:val="a"/>
    <w:link w:val="EndNoteBibliography0"/>
    <w:rsid w:val="008D4EC6"/>
    <w:rPr>
      <w:rFonts w:ascii="Calibri" w:hAnsi="Calibri"/>
      <w:noProof/>
    </w:rPr>
  </w:style>
  <w:style w:type="character" w:customStyle="1" w:styleId="EndNoteBibliography0">
    <w:name w:val="EndNote Bibliography 字元"/>
    <w:basedOn w:val="a0"/>
    <w:link w:val="EndNoteBibliography"/>
    <w:rsid w:val="008D4EC6"/>
    <w:rPr>
      <w:rFonts w:ascii="Calibri" w:hAnsi="Calibri"/>
      <w:noProof/>
    </w:rPr>
  </w:style>
  <w:style w:type="paragraph" w:styleId="a6">
    <w:name w:val="header"/>
    <w:basedOn w:val="a"/>
    <w:link w:val="a7"/>
    <w:uiPriority w:val="99"/>
    <w:unhideWhenUsed/>
    <w:rsid w:val="00233B5D"/>
    <w:pPr>
      <w:tabs>
        <w:tab w:val="center" w:pos="4153"/>
        <w:tab w:val="right" w:pos="8306"/>
      </w:tabs>
      <w:snapToGrid w:val="0"/>
    </w:pPr>
    <w:rPr>
      <w:sz w:val="20"/>
      <w:szCs w:val="20"/>
    </w:rPr>
  </w:style>
  <w:style w:type="character" w:customStyle="1" w:styleId="a7">
    <w:name w:val="頁首 字元"/>
    <w:basedOn w:val="a0"/>
    <w:link w:val="a6"/>
    <w:uiPriority w:val="99"/>
    <w:rsid w:val="00233B5D"/>
    <w:rPr>
      <w:sz w:val="20"/>
      <w:szCs w:val="20"/>
    </w:rPr>
  </w:style>
  <w:style w:type="paragraph" w:styleId="a8">
    <w:name w:val="footer"/>
    <w:basedOn w:val="a"/>
    <w:link w:val="a9"/>
    <w:uiPriority w:val="99"/>
    <w:unhideWhenUsed/>
    <w:rsid w:val="00233B5D"/>
    <w:pPr>
      <w:tabs>
        <w:tab w:val="center" w:pos="4153"/>
        <w:tab w:val="right" w:pos="8306"/>
      </w:tabs>
      <w:snapToGrid w:val="0"/>
    </w:pPr>
    <w:rPr>
      <w:sz w:val="20"/>
      <w:szCs w:val="20"/>
    </w:rPr>
  </w:style>
  <w:style w:type="character" w:customStyle="1" w:styleId="a9">
    <w:name w:val="頁尾 字元"/>
    <w:basedOn w:val="a0"/>
    <w:link w:val="a8"/>
    <w:uiPriority w:val="99"/>
    <w:rsid w:val="00233B5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i.org/10.1016/j.heliyon.2019.e028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ompedu.2019.103613"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866</Words>
  <Characters>4937</Characters>
  <Application>Microsoft Office Word</Application>
  <DocSecurity>0</DocSecurity>
  <Lines>41</Lines>
  <Paragraphs>11</Paragraphs>
  <ScaleCrop>false</ScaleCrop>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eric-i7</dc:creator>
  <cp:keywords/>
  <dc:description/>
  <cp:lastModifiedBy>eric-i7</cp:lastModifiedBy>
  <cp:revision>2</cp:revision>
  <dcterms:created xsi:type="dcterms:W3CDTF">2020-11-30T13:27:00Z</dcterms:created>
  <dcterms:modified xsi:type="dcterms:W3CDTF">2020-11-30T13:27:00Z</dcterms:modified>
</cp:coreProperties>
</file>